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41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C75444" w:rsidRPr="00C75444" w:rsidTr="00C30D00">
        <w:tc>
          <w:tcPr>
            <w:tcW w:w="9918" w:type="dxa"/>
            <w:gridSpan w:val="2"/>
          </w:tcPr>
          <w:p w:rsidR="00633B64" w:rsidRPr="00C75444" w:rsidRDefault="000766D5" w:rsidP="000766D5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</w:pP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 xml:space="preserve">Інформація ТОВ «ІЛТА» (надалі – Товариство) </w:t>
            </w:r>
          </w:p>
          <w:p w:rsidR="000766D5" w:rsidRPr="00C75444" w:rsidRDefault="000766D5" w:rsidP="000766D5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</w:pP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>на вимогу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8"/>
                <w:szCs w:val="28"/>
                <w:lang w:val="uk-UA"/>
              </w:rPr>
              <w:t>ст. 12 ЗУ «Про фінансові послуги та державне регулювання ринків фінансових послуг»</w:t>
            </w:r>
          </w:p>
          <w:p w:rsidR="000766D5" w:rsidRPr="00C75444" w:rsidRDefault="000766D5" w:rsidP="000766D5">
            <w:pPr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0766D5" w:rsidRPr="00B643ED" w:rsidRDefault="000766D5" w:rsidP="00071FE9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Перелік послуг, що надаються Товариством, порядок та умови їх надання</w:t>
            </w:r>
          </w:p>
        </w:tc>
        <w:tc>
          <w:tcPr>
            <w:tcW w:w="5387" w:type="dxa"/>
          </w:tcPr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Послуги фінансового та оперативного лізингу, сервісного обслуговування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Процентна ставка (змінювана/фіксована) в залежності від визначеного фінансування у гривні або з використанням еквівалента іноземної валюти: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Авансовий платіж від 15% до 90% від вартості автомобіля* 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Адміністративний платіж до 2,5% від вартості об’єкту*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Строк фінансування – до 5 років*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633B64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Виплати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здійснюються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7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9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гривні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9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за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5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комерційним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8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курсом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8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станом на робочий день, що передує дню виставлення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1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рахунка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0766D5" w:rsidRPr="00B643ED" w:rsidRDefault="000766D5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</w:tc>
        <w:tc>
          <w:tcPr>
            <w:tcW w:w="5387" w:type="dxa"/>
          </w:tcPr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Послуги фінансового та оперативного лізингу. Вартість та умови надання послуги розміщені за посиланням:</w:t>
            </w:r>
          </w:p>
          <w:p w:rsidR="000766D5" w:rsidRPr="00C75444" w:rsidRDefault="00C30D00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lang w:val="uk-UA"/>
              </w:rPr>
            </w:pPr>
            <w:hyperlink r:id="rId4" w:history="1">
              <w:r w:rsidR="000766D5" w:rsidRPr="00C75444">
                <w:rPr>
                  <w:rFonts w:ascii="Cambria" w:hAnsi="Cambria" w:cs="Times New Roman"/>
                  <w:color w:val="1F3864" w:themeColor="accent5" w:themeShade="80"/>
                  <w:lang w:val="uk-UA"/>
                </w:rPr>
                <w:t>https://www.iltaleasing.com/</w:t>
              </w:r>
            </w:hyperlink>
            <w:r w:rsidR="000766D5" w:rsidRPr="00C75444">
              <w:rPr>
                <w:rFonts w:ascii="Cambria" w:hAnsi="Cambria" w:cs="Times New Roman"/>
                <w:color w:val="1F3864" w:themeColor="accent5" w:themeShade="80"/>
                <w:lang w:val="uk-UA"/>
              </w:rPr>
              <w:t xml:space="preserve"> або </w:t>
            </w:r>
            <w:hyperlink r:id="rId5" w:history="1">
              <w:r w:rsidR="000766D5" w:rsidRPr="00C75444">
                <w:rPr>
                  <w:rFonts w:ascii="Cambria" w:hAnsi="Cambria" w:cs="Times New Roman"/>
                  <w:color w:val="1F3864" w:themeColor="accent5" w:themeShade="80"/>
                  <w:lang w:val="uk-UA"/>
                </w:rPr>
                <w:t>https://ilta.ua</w:t>
              </w:r>
            </w:hyperlink>
            <w:r w:rsidR="000766D5" w:rsidRPr="00C75444">
              <w:rPr>
                <w:rFonts w:ascii="Cambria" w:hAnsi="Cambria" w:cs="Times New Roman"/>
                <w:color w:val="1F3864" w:themeColor="accent5" w:themeShade="80"/>
                <w:lang w:val="uk-UA"/>
              </w:rPr>
              <w:t>/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Процентна ставка (змінювана/фіксована) в залежності від визначеного еквіваленту зобов’язань в іноземній валюті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Процентна ставка (фіксована) в залежності від визначеного еквіваленту зобов’язань в іноземній валюті (вказані максимальні значення)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proofErr w:type="spellStart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USD</w:t>
            </w:r>
            <w:proofErr w:type="spellEnd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- 12,5%*, </w:t>
            </w:r>
            <w:proofErr w:type="spellStart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EUR</w:t>
            </w:r>
            <w:proofErr w:type="spellEnd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– 12,5%*, </w:t>
            </w:r>
            <w:proofErr w:type="spellStart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UAH</w:t>
            </w:r>
            <w:proofErr w:type="spellEnd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– 25,9%*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У випадку одержання фінансування за змінюваною процентною ставкою, виплати здійснюються у гривні за комерційним курсом станом на робочий день, що 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передує дню виставлення рахунка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Відсоткова ставка, розраховується на основі: контракти фінансового лізингу зі змінюва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ною ставкою відсутні в портфелі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0766D5" w:rsidRPr="00071FE9" w:rsidRDefault="000766D5" w:rsidP="00B643ED">
            <w:pPr>
              <w:jc w:val="both"/>
              <w:rPr>
                <w:rFonts w:ascii="Cambria" w:hAnsi="Cambria" w:cs="Times New Roman"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Інформація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ab/>
              <w:t>про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ab/>
              <w:t>механізми</w:t>
            </w:r>
            <w:r w:rsidR="00071FE9"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 xml:space="preserve"> 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захисту</w:t>
            </w:r>
            <w:r w:rsid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 xml:space="preserve"> 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прав споживачів фінансових послуг</w:t>
            </w:r>
          </w:p>
        </w:tc>
        <w:tc>
          <w:tcPr>
            <w:tcW w:w="5387" w:type="dxa"/>
          </w:tcPr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З метою захисту своїх прав споживач має право звертатися до </w:t>
            </w: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  <w:t>Національного Банку України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за адресою: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01601, Київ, вул. Інститутська, 9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Веб-сайт: </w:t>
            </w:r>
            <w:hyperlink r:id="rId6" w:history="1">
              <w:r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>nbu@bank.gov.ua</w:t>
              </w:r>
            </w:hyperlink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Телефон довідкової телефонної служби: 0 800 505 240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Клієнт має право звернутися з усною або письмовою скаргою/заявою та отримати обґрунтовану відповідь протягом 30 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днів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Способи врегулювання спірних питань щодо надання фінансових послуг: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lastRenderedPageBreak/>
              <w:t xml:space="preserve">1. Досудове врегулювання (направлення письмових звернень, запитів, листів до фінансової установи та/або до регулятора у 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сфері ринків фінансових послуг)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2. Судове врегулювання спору напр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авлення позовної заяви до суду)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9918" w:type="dxa"/>
            <w:gridSpan w:val="2"/>
          </w:tcPr>
          <w:p w:rsidR="00B643ED" w:rsidRDefault="00B643ED" w:rsidP="000766D5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</w:p>
          <w:p w:rsidR="000766D5" w:rsidRDefault="000766D5" w:rsidP="000766D5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  <w:t>Особа, яка надає фінансові послуги</w:t>
            </w:r>
          </w:p>
          <w:p w:rsidR="00B643ED" w:rsidRPr="00C75444" w:rsidRDefault="00B643ED" w:rsidP="000766D5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0766D5" w:rsidRPr="00B643ED" w:rsidRDefault="000766D5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Найменування (для фізичної особи - підприємця: прізвище, ім’я та (за наявності) по батькові), місцезнаходження, контактний телефон і адреса електронної пошти особи, яка надає фінансові послуги, адреса, за якою приймаються скарги споживачів фінансових послуг</w:t>
            </w:r>
          </w:p>
        </w:tc>
        <w:tc>
          <w:tcPr>
            <w:tcW w:w="5387" w:type="dxa"/>
          </w:tcPr>
          <w:p w:rsidR="000766D5" w:rsidRPr="00C30D00" w:rsidRDefault="000766D5" w:rsidP="00633B64">
            <w:pPr>
              <w:jc w:val="both"/>
              <w:rPr>
                <w:rFonts w:ascii="Cambria" w:hAnsi="Cambria" w:cs="Times New Roman"/>
                <w:b/>
                <w:color w:val="7030A0"/>
                <w:sz w:val="20"/>
                <w:lang w:val="uk-UA"/>
              </w:rPr>
            </w:pPr>
            <w:r w:rsidRPr="00C30D00">
              <w:rPr>
                <w:rFonts w:ascii="Cambria" w:hAnsi="Cambria" w:cs="Times New Roman"/>
                <w:b/>
                <w:color w:val="7030A0"/>
                <w:sz w:val="20"/>
                <w:lang w:val="uk-UA"/>
              </w:rPr>
              <w:t>Товариство з обмеженою відповідальністю «ІЛТА», ТОВ «ІЛТА»</w:t>
            </w:r>
            <w:bookmarkStart w:id="0" w:name="_GoBack"/>
            <w:bookmarkEnd w:id="0"/>
          </w:p>
          <w:p w:rsidR="00633B64" w:rsidRPr="00C75444" w:rsidRDefault="00633B64" w:rsidP="00633B64">
            <w:pPr>
              <w:jc w:val="both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Ідентифікаційний код юридичної особи: 35571472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u w:val="single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u w:val="single"/>
                <w:lang w:val="uk-UA"/>
              </w:rPr>
              <w:t>Адреса, за якою приймаються скарги споживачів фінансових послуг: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Україна, 01103, м. Київ, вул. Залізничне шосе, 6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Телефон: +380 44 461 99 03</w:t>
            </w:r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633B64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u w:val="single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u w:val="single"/>
                <w:lang w:val="uk-UA"/>
              </w:rPr>
              <w:t>Електронна адреса, за якою приймаються скарги споживачів</w:t>
            </w:r>
            <w:r w:rsidR="00581466" w:rsidRPr="00C75444">
              <w:rPr>
                <w:rFonts w:ascii="Cambria" w:hAnsi="Cambria" w:cs="Times New Roman"/>
                <w:color w:val="1F3864" w:themeColor="accent5" w:themeShade="80"/>
                <w:sz w:val="20"/>
                <w:u w:val="single"/>
                <w:lang w:val="uk-UA"/>
              </w:rPr>
              <w:t xml:space="preserve">  фінансових послуг:</w:t>
            </w:r>
          </w:p>
          <w:p w:rsidR="000766D5" w:rsidRPr="00C75444" w:rsidRDefault="00C30D00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hyperlink r:id="rId7" w:tgtFrame="_self" w:history="1">
              <w:r w:rsidR="00581466" w:rsidRPr="00C75444">
                <w:rPr>
                  <w:rStyle w:val="a4"/>
                  <w:rFonts w:ascii="Cambria" w:hAnsi="Cambria" w:cs="Times New Roman"/>
                  <w:color w:val="1F3864" w:themeColor="accent5" w:themeShade="80"/>
                  <w:sz w:val="20"/>
                  <w:u w:val="none"/>
                  <w:lang w:val="uk-UA"/>
                </w:rPr>
                <w:t>lease@ilta.ua</w:t>
              </w:r>
            </w:hyperlink>
          </w:p>
          <w:p w:rsidR="000766D5" w:rsidRPr="00C75444" w:rsidRDefault="000766D5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0766D5" w:rsidRPr="00B643ED" w:rsidRDefault="00581466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Найменування особи, яка надає посередницькі послуги</w:t>
            </w:r>
          </w:p>
        </w:tc>
        <w:tc>
          <w:tcPr>
            <w:tcW w:w="5387" w:type="dxa"/>
          </w:tcPr>
          <w:p w:rsidR="000766D5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Не передбачена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0766D5" w:rsidRPr="00B643ED" w:rsidRDefault="00581466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5387" w:type="dxa"/>
          </w:tcPr>
          <w:p w:rsidR="000766D5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Номер запису в Єдиному державному реєстрі про проведення державної реєстрації юридичної особи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1 070 120 0000 004596 від 30.10.2002, 24.12.2004 року</w:t>
            </w:r>
          </w:p>
        </w:tc>
      </w:tr>
      <w:tr w:rsidR="00C75444" w:rsidRPr="00C75444" w:rsidTr="00C30D00">
        <w:tc>
          <w:tcPr>
            <w:tcW w:w="4531" w:type="dxa"/>
          </w:tcPr>
          <w:p w:rsidR="00581466" w:rsidRPr="00B643ED" w:rsidRDefault="00581466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Інформація щодо включення фінансової установи до відповідного державного реєстру фінансових установ або Державного реєстру банків</w:t>
            </w:r>
          </w:p>
        </w:tc>
        <w:tc>
          <w:tcPr>
            <w:tcW w:w="5387" w:type="dxa"/>
          </w:tcPr>
          <w:p w:rsidR="00581466" w:rsidRPr="00C75444" w:rsidRDefault="00C30D00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hyperlink r:id="rId8">
              <w:r w:rsidR="00581466"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>Реєстр осіб, які не є фінансовими установами, але мають</w:t>
              </w:r>
            </w:hyperlink>
            <w:r w:rsidR="00581466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</w:t>
            </w:r>
            <w:hyperlink r:id="rId9">
              <w:r w:rsidR="00581466"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 xml:space="preserve">право надавати окремі фінансові послуги </w:t>
              </w:r>
            </w:hyperlink>
            <w:r w:rsidR="00581466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– дата внесення 24.07.2004 року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B643ED" w:rsidTr="00C30D00">
        <w:tc>
          <w:tcPr>
            <w:tcW w:w="4531" w:type="dxa"/>
          </w:tcPr>
          <w:p w:rsidR="00581466" w:rsidRPr="00B643ED" w:rsidRDefault="00581466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5387" w:type="dxa"/>
          </w:tcPr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Довідка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3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Держфінпослуг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4"/>
                <w:sz w:val="20"/>
                <w:lang w:val="uk-UA"/>
              </w:rPr>
              <w:t xml:space="preserve"> №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1776 від 24.07.2004 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4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року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Ліцензія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4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на надання послуг фінансового лізингу, ліцензія на надання послуг фінансового лізингу, розпорядження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18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Нацкомфінпослуг № 1313 від 25.04.2017 року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581466" w:rsidRPr="00B643ED" w:rsidRDefault="00581466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387" w:type="dxa"/>
          </w:tcPr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  <w:t>Національний Банк України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: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01601, Київ, вул. Інститутська, 9</w:t>
            </w:r>
          </w:p>
          <w:p w:rsidR="00633B64" w:rsidRPr="00C75444" w:rsidRDefault="00633B64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Веб-сайт: </w:t>
            </w:r>
            <w:hyperlink r:id="rId10" w:history="1">
              <w:r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>nbu@bank.gov.ua</w:t>
              </w:r>
            </w:hyperlink>
          </w:p>
          <w:p w:rsidR="00633B64" w:rsidRPr="00C75444" w:rsidRDefault="00633B64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Телефон довідкової телефонної служби: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0 800 505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 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240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B643ED" w:rsidTr="00C30D00">
        <w:tc>
          <w:tcPr>
            <w:tcW w:w="4531" w:type="dxa"/>
          </w:tcPr>
          <w:p w:rsidR="00581466" w:rsidRPr="00B643ED" w:rsidRDefault="00581466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Фінансова послуга - загальна сума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</w:t>
            </w:r>
          </w:p>
        </w:tc>
        <w:tc>
          <w:tcPr>
            <w:tcW w:w="5387" w:type="dxa"/>
          </w:tcPr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Умови надання послуг в залежності від визначеного фінансування у гривні або з використанням еквівалента іноземної валюти:</w:t>
            </w: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81466" w:rsidRPr="00C75444" w:rsidRDefault="00581466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- </w:t>
            </w:r>
            <w:r w:rsidR="004C49E1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роцентна ставка фіксована, залежить від ризиковості контракту</w:t>
            </w:r>
            <w:r w:rsidR="004C49E1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;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- ф</w:t>
            </w:r>
            <w:r w:rsidR="00581466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іксована відсоткова ставка*:</w:t>
            </w:r>
          </w:p>
          <w:p w:rsidR="00581466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proofErr w:type="spellStart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USD</w:t>
            </w:r>
            <w:proofErr w:type="spellEnd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- 2,5%, </w:t>
            </w:r>
            <w:proofErr w:type="spellStart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EUR</w:t>
            </w:r>
            <w:proofErr w:type="spellEnd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– 12,5%, </w:t>
            </w:r>
            <w:proofErr w:type="spellStart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UAH</w:t>
            </w:r>
            <w:proofErr w:type="spellEnd"/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–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3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25,9%;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- аванс від 15% до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3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90%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Термін фінансування: від 1 до 5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років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lastRenderedPageBreak/>
              <w:t>Адміністративна комісія: до 2,5% від суми фінансування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  <w:t>Податки та збори: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Збір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5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на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обов’язкове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3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державне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пенсійне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страхування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3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з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операцій з відчуження легкових автомобілів. Порядок оплати встановлюються ЗУ «Про збір на обов’язкове державне пенсійне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страхування»</w:t>
            </w: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Транспортний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податок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2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випадках,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8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передбачених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Податковим кодексом України, постановою КМУ </w:t>
            </w:r>
            <w:hyperlink r:id="rId11">
              <w:r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>постановою Кабінету</w:t>
              </w:r>
            </w:hyperlink>
            <w:hyperlink r:id="rId12">
              <w:r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 xml:space="preserve"> Міністрів України № 66 від 18 лютого 2016</w:t>
              </w:r>
              <w:r w:rsidRPr="00C75444">
                <w:rPr>
                  <w:rFonts w:ascii="Cambria" w:hAnsi="Cambria" w:cs="Times New Roman"/>
                  <w:color w:val="1F3864" w:themeColor="accent5" w:themeShade="80"/>
                  <w:spacing w:val="-9"/>
                  <w:sz w:val="20"/>
                  <w:lang w:val="uk-UA"/>
                </w:rPr>
                <w:t xml:space="preserve"> </w:t>
              </w:r>
              <w:r w:rsidRPr="00C75444">
                <w:rPr>
                  <w:rFonts w:ascii="Cambria" w:hAnsi="Cambria" w:cs="Times New Roman"/>
                  <w:color w:val="1F3864" w:themeColor="accent5" w:themeShade="80"/>
                  <w:sz w:val="20"/>
                  <w:lang w:val="uk-UA"/>
                </w:rPr>
                <w:t>року.</w:t>
              </w:r>
            </w:hyperlink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4C49E1" w:rsidRPr="00C75444" w:rsidRDefault="004C49E1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Оплата податків, зборів та інших обов’язкових платежів здійснюється власником Предмету лізингу у відповідності до умов Договору</w:t>
            </w:r>
          </w:p>
          <w:p w:rsidR="00633B64" w:rsidRPr="00C75444" w:rsidRDefault="00633B64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9918" w:type="dxa"/>
            <w:gridSpan w:val="2"/>
          </w:tcPr>
          <w:p w:rsidR="00B643ED" w:rsidRDefault="00B643ED" w:rsidP="005074FF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</w:p>
          <w:p w:rsidR="005074FF" w:rsidRPr="00C75444" w:rsidRDefault="005074FF" w:rsidP="005074FF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b/>
                <w:color w:val="1F3864" w:themeColor="accent5" w:themeShade="80"/>
                <w:sz w:val="20"/>
                <w:lang w:val="uk-UA"/>
              </w:rPr>
              <w:t>Договір про надання фінансових послуг</w:t>
            </w:r>
          </w:p>
          <w:p w:rsidR="00633B64" w:rsidRPr="00C75444" w:rsidRDefault="00633B64" w:rsidP="005074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4C49E1" w:rsidRPr="00B643ED" w:rsidRDefault="005074FF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387" w:type="dxa"/>
          </w:tcPr>
          <w:p w:rsidR="004C49E1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Так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4C49E1" w:rsidRPr="00B643ED" w:rsidRDefault="005074FF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5387" w:type="dxa"/>
          </w:tcPr>
          <w:p w:rsidR="004C49E1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За згодою сторін Договір може бути припинений достроково, але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5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раніше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ніж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7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через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12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5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(дванадцять)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5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місяців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7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із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3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дати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8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початку строку лізингу. Таке дострокове закінчення строку лізингу є можливим лише за умови, що до моменту такого закінчення клієнт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8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виконав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4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усі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свої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9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зобов’язання,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6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передбачені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9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або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7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пов’язані з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"/>
                <w:sz w:val="20"/>
                <w:lang w:val="uk-UA"/>
              </w:rPr>
              <w:t xml:space="preserve"> 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оговором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Відповідно до п. 2 ст. 1 Закону України «Про фінансовий лізинг» Договір про фінансовий лізинг не може бути припинено раніше одного року від початку його дії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5074FF" w:rsidRPr="00B643ED" w:rsidRDefault="005074FF" w:rsidP="00C30D00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Мінімальний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ab/>
              <w:t>строк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ab/>
              <w:t>дії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ab/>
            </w:r>
            <w:r w:rsidR="00C30D00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д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 xml:space="preserve">оговору 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pacing w:val="-4"/>
                <w:sz w:val="20"/>
                <w:lang w:val="uk-UA"/>
              </w:rPr>
              <w:t xml:space="preserve">(якщо 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застосовується)</w:t>
            </w:r>
          </w:p>
        </w:tc>
        <w:tc>
          <w:tcPr>
            <w:tcW w:w="5387" w:type="dxa"/>
          </w:tcPr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1 рік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5074FF" w:rsidRPr="00B643ED" w:rsidRDefault="005074FF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Наявність у клієнта права розірвати чи припинити договір, права дострокового виконання договору, а також наслідки таких дій</w:t>
            </w:r>
          </w:p>
        </w:tc>
        <w:tc>
          <w:tcPr>
            <w:tcW w:w="5387" w:type="dxa"/>
          </w:tcPr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Клієнт має право в односторонньому порядку припинити Договір у порядку, передбаченому Договором у таких випадках: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а)</w:t>
            </w:r>
            <w:r w:rsidRPr="00C75444">
              <w:rPr>
                <w:rFonts w:ascii="Cambria" w:hAnsi="Cambria" w:cs="Times New Roman"/>
                <w:color w:val="1F3864" w:themeColor="accent5" w:themeShade="8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якщо Предмет лізингу буде повністю втрачено внаслідок зіткнення або крадіжки;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б) настання форс-мажорних обставин;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в) настання обставин, що не залежать від Лізингодавця.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Датою припинення Договору є дата визначена Сторонами</w:t>
            </w:r>
            <w:r w:rsidR="00633B64"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 xml:space="preserve"> Договору</w:t>
            </w:r>
          </w:p>
          <w:p w:rsidR="005074FF" w:rsidRPr="00C75444" w:rsidRDefault="005074FF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5074FF" w:rsidRPr="00B643ED" w:rsidRDefault="005074FF" w:rsidP="00C30D00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 xml:space="preserve">Порядок внесення змін та доповнень до </w:t>
            </w:r>
            <w:r w:rsidR="00C30D00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д</w:t>
            </w: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оговору</w:t>
            </w:r>
          </w:p>
        </w:tc>
        <w:tc>
          <w:tcPr>
            <w:tcW w:w="5387" w:type="dxa"/>
          </w:tcPr>
          <w:p w:rsidR="005074FF" w:rsidRPr="00C75444" w:rsidRDefault="00EA7E63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Усі зміни, доповнення, положення до Договору є обов’язковими для Сторін виключно у випадку їх оформлення у письмовій формі та підписання їх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7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належними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20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чином</w:t>
            </w:r>
            <w:r w:rsidRPr="00C75444">
              <w:rPr>
                <w:rFonts w:ascii="Cambria" w:hAnsi="Cambria" w:cs="Times New Roman"/>
                <w:color w:val="1F3864" w:themeColor="accent5" w:themeShade="80"/>
                <w:spacing w:val="-17"/>
                <w:sz w:val="20"/>
                <w:lang w:val="uk-UA"/>
              </w:rPr>
              <w:t xml:space="preserve"> </w:t>
            </w: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уповноваженими представниками</w:t>
            </w:r>
          </w:p>
          <w:p w:rsidR="00EA7E63" w:rsidRPr="00C75444" w:rsidRDefault="00EA7E63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</w:tc>
      </w:tr>
      <w:tr w:rsidR="00C75444" w:rsidRPr="00C75444" w:rsidTr="00C30D00">
        <w:tc>
          <w:tcPr>
            <w:tcW w:w="4531" w:type="dxa"/>
          </w:tcPr>
          <w:p w:rsidR="005074FF" w:rsidRPr="00B643ED" w:rsidRDefault="00EA7E63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  <w:p w:rsidR="00EA7E63" w:rsidRPr="00B643ED" w:rsidRDefault="00EA7E63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</w:p>
        </w:tc>
        <w:tc>
          <w:tcPr>
            <w:tcW w:w="5387" w:type="dxa"/>
          </w:tcPr>
          <w:p w:rsidR="005074FF" w:rsidRPr="00C75444" w:rsidRDefault="00EA7E63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Так</w:t>
            </w:r>
          </w:p>
        </w:tc>
      </w:tr>
      <w:tr w:rsidR="00C75444" w:rsidRPr="00C75444" w:rsidTr="00C30D00">
        <w:tc>
          <w:tcPr>
            <w:tcW w:w="4531" w:type="dxa"/>
          </w:tcPr>
          <w:p w:rsidR="00EA7E63" w:rsidRPr="00B643ED" w:rsidRDefault="00EA7E63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lastRenderedPageBreak/>
              <w:t>Можливість та порядок позасудового розгляду скарг споживачів фінансових послуг</w:t>
            </w:r>
          </w:p>
          <w:p w:rsidR="00EA7E63" w:rsidRPr="00B643ED" w:rsidRDefault="00EA7E63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</w:p>
        </w:tc>
        <w:tc>
          <w:tcPr>
            <w:tcW w:w="5387" w:type="dxa"/>
          </w:tcPr>
          <w:p w:rsidR="00EA7E63" w:rsidRPr="00C75444" w:rsidRDefault="00EA7E63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Так</w:t>
            </w:r>
          </w:p>
        </w:tc>
      </w:tr>
      <w:tr w:rsidR="00C75444" w:rsidRPr="00C75444" w:rsidTr="00C30D00">
        <w:tc>
          <w:tcPr>
            <w:tcW w:w="4531" w:type="dxa"/>
          </w:tcPr>
          <w:p w:rsidR="00EA7E63" w:rsidRPr="00B643ED" w:rsidRDefault="00EA7E63" w:rsidP="00633B64">
            <w:pPr>
              <w:jc w:val="both"/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</w:pPr>
            <w:r w:rsidRPr="00B643ED">
              <w:rPr>
                <w:rFonts w:ascii="Cambria" w:hAnsi="Cambria" w:cs="Times New Roman"/>
                <w:b/>
                <w:color w:val="1F4E79" w:themeColor="accent1" w:themeShade="80"/>
                <w:sz w:val="20"/>
                <w:lang w:val="uk-UA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387" w:type="dxa"/>
          </w:tcPr>
          <w:p w:rsidR="00EA7E63" w:rsidRPr="00C75444" w:rsidRDefault="00EA7E63" w:rsidP="00633B64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  <w:t>Не передбачено</w:t>
            </w:r>
          </w:p>
        </w:tc>
      </w:tr>
      <w:tr w:rsidR="00C75444" w:rsidRPr="00C75444" w:rsidTr="00C30D00">
        <w:tc>
          <w:tcPr>
            <w:tcW w:w="9918" w:type="dxa"/>
            <w:gridSpan w:val="2"/>
          </w:tcPr>
          <w:p w:rsidR="00EA7E63" w:rsidRPr="00C75444" w:rsidRDefault="00EA7E63" w:rsidP="000766D5">
            <w:pPr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</w:p>
          <w:p w:rsidR="00EA7E63" w:rsidRPr="00C75444" w:rsidRDefault="00EA7E63" w:rsidP="000766D5">
            <w:pPr>
              <w:rPr>
                <w:rFonts w:ascii="Cambria" w:hAnsi="Cambria" w:cs="Times New Roman"/>
                <w:color w:val="1F3864" w:themeColor="accent5" w:themeShade="80"/>
                <w:sz w:val="20"/>
                <w:lang w:val="uk-UA"/>
              </w:rPr>
            </w:pPr>
            <w:r w:rsidRPr="00C75444">
              <w:rPr>
                <w:rFonts w:ascii="Cambria" w:hAnsi="Cambria" w:cs="Times New Roman"/>
                <w:color w:val="1F3864" w:themeColor="accent5" w:themeShade="80"/>
                <w:lang w:val="uk-UA"/>
              </w:rPr>
              <w:t>*</w:t>
            </w:r>
            <w:r w:rsidRPr="00C75444">
              <w:rPr>
                <w:rFonts w:ascii="Cambria" w:hAnsi="Cambria" w:cs="Times New Roman"/>
                <w:i/>
                <w:color w:val="1F3864" w:themeColor="accent5" w:themeShade="80"/>
                <w:sz w:val="20"/>
                <w:lang w:val="uk-UA"/>
              </w:rPr>
              <w:t xml:space="preserve"> Наведені дані є орієнтовними, остаточні умови фінансової послуги, що надається Товариством фіксуються при укладенні відповідного Д</w:t>
            </w:r>
            <w:r w:rsidR="00633B64" w:rsidRPr="00C75444">
              <w:rPr>
                <w:rFonts w:ascii="Cambria" w:hAnsi="Cambria" w:cs="Times New Roman"/>
                <w:i/>
                <w:color w:val="1F3864" w:themeColor="accent5" w:themeShade="80"/>
                <w:sz w:val="20"/>
                <w:lang w:val="uk-UA"/>
              </w:rPr>
              <w:t>оговору</w:t>
            </w:r>
          </w:p>
        </w:tc>
      </w:tr>
    </w:tbl>
    <w:p w:rsidR="00B00206" w:rsidRPr="00C75444" w:rsidRDefault="00B00206" w:rsidP="000766D5">
      <w:pPr>
        <w:spacing w:after="0" w:line="240" w:lineRule="auto"/>
        <w:rPr>
          <w:rFonts w:ascii="Cambria" w:hAnsi="Cambria" w:cs="Times New Roman"/>
          <w:b/>
          <w:color w:val="1F3864" w:themeColor="accent5" w:themeShade="80"/>
          <w:sz w:val="28"/>
          <w:szCs w:val="28"/>
          <w:lang w:val="uk-UA"/>
        </w:rPr>
      </w:pPr>
    </w:p>
    <w:sectPr w:rsidR="00B00206" w:rsidRPr="00C7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D5"/>
    <w:rsid w:val="00071FE9"/>
    <w:rsid w:val="000766D5"/>
    <w:rsid w:val="004C49E1"/>
    <w:rsid w:val="005074FF"/>
    <w:rsid w:val="00581466"/>
    <w:rsid w:val="00633B64"/>
    <w:rsid w:val="0084267D"/>
    <w:rsid w:val="00A36209"/>
    <w:rsid w:val="00B00206"/>
    <w:rsid w:val="00B14769"/>
    <w:rsid w:val="00B643ED"/>
    <w:rsid w:val="00BC67DA"/>
    <w:rsid w:val="00C30D00"/>
    <w:rsid w:val="00C75444"/>
    <w:rsid w:val="00E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C4E5-FEA4-4CEA-A040-7B2C66F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6D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814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.gov.ua/files/reestry/Perelik-osib-ne-FU-LZNG/23_12_19-lzng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se@ilta.ua" TargetMode="External"/><Relationship Id="rId12" Type="http://schemas.openxmlformats.org/officeDocument/2006/relationships/hyperlink" Target="http://www.kmu.gov.ua/control/ru/cardnpd?docid=248841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u@bank.gov.ua" TargetMode="External"/><Relationship Id="rId11" Type="http://schemas.openxmlformats.org/officeDocument/2006/relationships/hyperlink" Target="http://www.kmu.gov.ua/control/ru/cardnpd?docid=248841560" TargetMode="External"/><Relationship Id="rId5" Type="http://schemas.openxmlformats.org/officeDocument/2006/relationships/hyperlink" Target="https://ilta.ua" TargetMode="External"/><Relationship Id="rId10" Type="http://schemas.openxmlformats.org/officeDocument/2006/relationships/hyperlink" Target="mailto:nbu@bank.gov.ua" TargetMode="External"/><Relationship Id="rId4" Type="http://schemas.openxmlformats.org/officeDocument/2006/relationships/hyperlink" Target="https://www.iltaleasing.com/" TargetMode="External"/><Relationship Id="rId9" Type="http://schemas.openxmlformats.org/officeDocument/2006/relationships/hyperlink" Target="https://www.nfp.gov.ua/files/reestry/Perelik-osib-ne-FU-LZNG/23_12_19-lzng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Марусенко</dc:creator>
  <cp:keywords/>
  <dc:description/>
  <cp:lastModifiedBy>Юлія Марусенко</cp:lastModifiedBy>
  <cp:revision>4</cp:revision>
  <dcterms:created xsi:type="dcterms:W3CDTF">2020-10-07T07:56:00Z</dcterms:created>
  <dcterms:modified xsi:type="dcterms:W3CDTF">2020-10-07T08:32:00Z</dcterms:modified>
</cp:coreProperties>
</file>